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0D762" w14:textId="2BD6C969"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3GPP TSG RAN WG4 Meeting #98e-bis</w:t>
      </w:r>
      <w:r w:rsidRPr="00B91A9F">
        <w:rPr>
          <w:rFonts w:eastAsia="Malgun Gothic"/>
          <w:b/>
          <w:bCs/>
          <w:sz w:val="28"/>
        </w:rPr>
        <w:tab/>
        <w:t>R4-2</w:t>
      </w:r>
      <w:r w:rsidR="00AB1605">
        <w:rPr>
          <w:rFonts w:eastAsia="Malgun Gothic"/>
          <w:b/>
          <w:bCs/>
          <w:sz w:val="28"/>
        </w:rPr>
        <w:t>102088</w:t>
      </w:r>
    </w:p>
    <w:p w14:paraId="32A39083" w14:textId="77777777"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Pr>
          <w:rFonts w:eastAsia="Malgun Gothic"/>
          <w:b/>
          <w:bCs/>
          <w:sz w:val="28"/>
          <w:lang w:eastAsia="ko-KR"/>
        </w:rPr>
        <w:t>25</w:t>
      </w:r>
      <w:r>
        <w:rPr>
          <w:b/>
          <w:noProof/>
          <w:sz w:val="28"/>
          <w:vertAlign w:val="superscript"/>
        </w:rPr>
        <w:t>th</w:t>
      </w:r>
      <w:r>
        <w:rPr>
          <w:b/>
          <w:noProof/>
          <w:sz w:val="28"/>
        </w:rPr>
        <w:t xml:space="preserve"> January – 5</w:t>
      </w:r>
      <w:r w:rsidRPr="00B91A9F">
        <w:rPr>
          <w:b/>
          <w:noProof/>
          <w:sz w:val="28"/>
          <w:vertAlign w:val="superscript"/>
        </w:rPr>
        <w:t>th</w:t>
      </w:r>
      <w:r w:rsidRPr="00B91A9F">
        <w:rPr>
          <w:b/>
          <w:noProof/>
          <w:sz w:val="28"/>
        </w:rPr>
        <w:t xml:space="preserve"> </w:t>
      </w:r>
      <w:r>
        <w:rPr>
          <w:b/>
          <w:noProof/>
          <w:sz w:val="28"/>
        </w:rPr>
        <w:t>February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0CC5F038" w14:textId="4E08B13A" w:rsidR="004E1B2E" w:rsidRPr="004E1B2E" w:rsidRDefault="00B81FC7" w:rsidP="004E1B2E">
      <w:pPr>
        <w:ind w:left="2160" w:hanging="2160"/>
        <w:rPr>
          <w:lang w:val="en-GB"/>
        </w:rPr>
      </w:pPr>
      <w:r w:rsidRPr="00DE4417">
        <w:rPr>
          <w:b/>
          <w:lang w:val="en-GB"/>
        </w:rPr>
        <w:t>Title:</w:t>
      </w:r>
      <w:r w:rsidRPr="00DE4417">
        <w:rPr>
          <w:b/>
          <w:lang w:val="en-GB"/>
        </w:rPr>
        <w:tab/>
      </w:r>
      <w:r w:rsidR="006F178B">
        <w:rPr>
          <w:lang w:val="en-GB"/>
        </w:rPr>
        <w:t xml:space="preserve">Discussion on </w:t>
      </w:r>
      <w:r w:rsidR="004E1B2E">
        <w:rPr>
          <w:lang w:val="en-GB"/>
        </w:rPr>
        <w:t>test time reduction</w:t>
      </w:r>
      <w:r w:rsidR="004F0E1F">
        <w:rPr>
          <w:lang w:val="en-GB"/>
        </w:rPr>
        <w:t xml:space="preserve"> </w:t>
      </w:r>
      <w:r w:rsidR="00512883">
        <w:rPr>
          <w:lang w:val="en-GB"/>
        </w:rPr>
        <w:t>methods</w:t>
      </w:r>
    </w:p>
    <w:p w14:paraId="75E65FB7" w14:textId="59D3634A"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FC11C7">
        <w:rPr>
          <w:lang w:val="en-GB"/>
        </w:rPr>
        <w:t>12.1.7</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436723EC" w:rsidR="00196262" w:rsidRPr="00196262" w:rsidRDefault="004A020E" w:rsidP="00196262">
      <w:pPr>
        <w:rPr>
          <w:lang w:val="en-GB" w:eastAsia="en-US"/>
        </w:rPr>
      </w:pPr>
      <w:r>
        <w:rPr>
          <w:lang w:val="en-GB" w:eastAsia="en-US"/>
        </w:rPr>
        <w:t>In this paper we share our thoughts on potential test time reductions</w:t>
      </w:r>
      <w:r w:rsidR="00F503A5">
        <w:rPr>
          <w:lang w:val="en-GB" w:eastAsia="en-US"/>
        </w:rPr>
        <w:t xml:space="preserve"> as discussed in [1], while focussing on the optimizat</w:t>
      </w:r>
      <w:r w:rsidR="00414E4C">
        <w:rPr>
          <w:lang w:val="en-GB" w:eastAsia="en-US"/>
        </w:rPr>
        <w:t>ion of the test procedures for Tx and Rx</w:t>
      </w:r>
      <w:r w:rsidR="00F503A5">
        <w:rPr>
          <w:lang w:val="en-GB" w:eastAsia="en-US"/>
        </w:rPr>
        <w:t xml:space="preserve"> spherical coverage</w:t>
      </w:r>
      <w:r w:rsidR="00414E4C">
        <w:rPr>
          <w:lang w:val="en-GB" w:eastAsia="en-US"/>
        </w:rPr>
        <w:t xml:space="preserve"> TCs</w:t>
      </w:r>
      <w:r w:rsidR="00F503A5">
        <w:rPr>
          <w:lang w:val="en-GB" w:eastAsia="en-US"/>
        </w:rPr>
        <w:t>.</w:t>
      </w:r>
    </w:p>
    <w:p w14:paraId="22839BA8" w14:textId="37908678" w:rsidR="00FB2EFD" w:rsidRDefault="00414E4C" w:rsidP="00FB2EFD">
      <w:pPr>
        <w:pStyle w:val="berschrift1"/>
        <w:rPr>
          <w:rFonts w:cs="Arial"/>
        </w:rPr>
      </w:pPr>
      <w:r>
        <w:rPr>
          <w:rFonts w:cs="Arial"/>
        </w:rPr>
        <w:t>Discussion</w:t>
      </w:r>
    </w:p>
    <w:p w14:paraId="420A64F3" w14:textId="0431CB65" w:rsidR="00BB6C23" w:rsidRDefault="00414E4C" w:rsidP="00A7325F">
      <w:r>
        <w:t xml:space="preserve">Two of the TCs that currently take a long time to run are the spherical coverage TCs for both </w:t>
      </w:r>
      <w:proofErr w:type="gramStart"/>
      <w:r>
        <w:t>Tx</w:t>
      </w:r>
      <w:proofErr w:type="gramEnd"/>
      <w:r>
        <w:t xml:space="preserve"> and Rx.</w:t>
      </w:r>
    </w:p>
    <w:p w14:paraId="5D38B15D" w14:textId="2D2083F0" w:rsidR="00414E4C" w:rsidRDefault="004A08D7" w:rsidP="00A7325F">
      <w:r>
        <w:t>The way the requirement is checked at the moment is that the same measurement procedure as for the beam</w:t>
      </w:r>
      <w:r w:rsidR="000120EA">
        <w:t xml:space="preserve"> </w:t>
      </w:r>
      <w:r>
        <w:t>peak search is used</w:t>
      </w:r>
      <w:r w:rsidR="00414E4C">
        <w:t xml:space="preserve">, as </w:t>
      </w:r>
      <w:r w:rsidR="00601AD9">
        <w:t>outlined in section K.1.1 and K.2.1 in TS 38.521-1 [2]</w:t>
      </w:r>
    </w:p>
    <w:p w14:paraId="52625D52" w14:textId="3DC7E532" w:rsidR="004A08D7" w:rsidRDefault="00414E4C" w:rsidP="00A7325F">
      <w:r>
        <w:t>T</w:t>
      </w:r>
      <w:r w:rsidR="004A08D7">
        <w:t xml:space="preserve">hen the CDF (for Tx) / CCDF (for Rx) for the measured values is calculated and the value at the x% </w:t>
      </w:r>
      <w:r w:rsidR="00961607">
        <w:t xml:space="preserve">percentile </w:t>
      </w:r>
      <w:r w:rsidR="004A08D7">
        <w:t>is compared to the corresponding spherical coverage limit. This approach however requires to measure on each point of the sphere</w:t>
      </w:r>
      <w:r w:rsidR="00961607">
        <w:t xml:space="preserve"> corresponding to </w:t>
      </w:r>
      <w:r w:rsidR="004A08D7">
        <w:t>200 (for constant density grids) or 266 (for constant step size grids) measurements. While these are less points than for the beam</w:t>
      </w:r>
      <w:r w:rsidR="000120EA">
        <w:t xml:space="preserve"> </w:t>
      </w:r>
      <w:r w:rsidR="004A08D7">
        <w:t>peak search, this TC still takes a long time</w:t>
      </w:r>
      <w:r w:rsidR="000120EA">
        <w:t>.</w:t>
      </w:r>
    </w:p>
    <w:p w14:paraId="473CDED9" w14:textId="3BABEAB0" w:rsidR="004A08D7" w:rsidRDefault="00834B53" w:rsidP="00A7325F">
      <w:r>
        <w:t>As an example</w:t>
      </w:r>
      <w:r w:rsidR="00496DAB">
        <w:t>,</w:t>
      </w:r>
      <w:r>
        <w:t xml:space="preserve"> we show the requirement for Tx spherical coverage (PC3) below and how it could be measured as part of the conformance test in an optimized way.</w:t>
      </w:r>
    </w:p>
    <w:p w14:paraId="286811E2" w14:textId="77777777" w:rsidR="00FB201E" w:rsidRPr="00C04A08" w:rsidRDefault="00FB201E" w:rsidP="00FB201E">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B201E" w:rsidRPr="00C04A08" w14:paraId="0E4762B1" w14:textId="77777777" w:rsidTr="0007720B">
        <w:trPr>
          <w:trHeight w:val="438"/>
        </w:trPr>
        <w:tc>
          <w:tcPr>
            <w:tcW w:w="2694" w:type="dxa"/>
            <w:shd w:val="clear" w:color="auto" w:fill="auto"/>
          </w:tcPr>
          <w:p w14:paraId="3B82DD00" w14:textId="77777777" w:rsidR="00FB201E" w:rsidRPr="00C04A08" w:rsidRDefault="00FB201E" w:rsidP="0007720B">
            <w:pPr>
              <w:pStyle w:val="TAH"/>
            </w:pPr>
            <w:r w:rsidRPr="00C04A08">
              <w:t>Operating band</w:t>
            </w:r>
          </w:p>
        </w:tc>
        <w:tc>
          <w:tcPr>
            <w:tcW w:w="2734" w:type="dxa"/>
            <w:shd w:val="clear" w:color="auto" w:fill="auto"/>
          </w:tcPr>
          <w:p w14:paraId="266510EF" w14:textId="77777777" w:rsidR="00FB201E" w:rsidRPr="00C04A08" w:rsidRDefault="00FB201E" w:rsidP="0007720B">
            <w:pPr>
              <w:pStyle w:val="TAH"/>
            </w:pPr>
            <w:r w:rsidRPr="00C04A08">
              <w:t>Min EIRP at 50</w:t>
            </w:r>
            <w:r w:rsidRPr="00C04A08">
              <w:rPr>
                <w:vertAlign w:val="superscript"/>
              </w:rPr>
              <w:t xml:space="preserve"> </w:t>
            </w:r>
            <w:r w:rsidRPr="00C04A08">
              <w:t>%-tile CDF (dBm)</w:t>
            </w:r>
          </w:p>
        </w:tc>
      </w:tr>
      <w:tr w:rsidR="00FB201E" w:rsidRPr="00C04A08" w14:paraId="68213008" w14:textId="77777777" w:rsidTr="0007720B">
        <w:trPr>
          <w:trHeight w:val="105"/>
        </w:trPr>
        <w:tc>
          <w:tcPr>
            <w:tcW w:w="2694" w:type="dxa"/>
            <w:shd w:val="clear" w:color="auto" w:fill="auto"/>
          </w:tcPr>
          <w:p w14:paraId="63A1C6D0" w14:textId="77777777" w:rsidR="00FB201E" w:rsidRPr="00C04A08" w:rsidRDefault="00FB201E" w:rsidP="0007720B">
            <w:pPr>
              <w:pStyle w:val="TAC"/>
            </w:pPr>
            <w:r w:rsidRPr="00C04A08">
              <w:t>n257</w:t>
            </w:r>
          </w:p>
        </w:tc>
        <w:tc>
          <w:tcPr>
            <w:tcW w:w="2734" w:type="dxa"/>
            <w:shd w:val="clear" w:color="auto" w:fill="auto"/>
          </w:tcPr>
          <w:p w14:paraId="50550156" w14:textId="77777777" w:rsidR="00FB201E" w:rsidRPr="00C04A08" w:rsidRDefault="00FB201E" w:rsidP="0007720B">
            <w:pPr>
              <w:pStyle w:val="TAC"/>
            </w:pPr>
            <w:r w:rsidRPr="00C04A08">
              <w:t>11.5</w:t>
            </w:r>
          </w:p>
        </w:tc>
      </w:tr>
      <w:tr w:rsidR="00FB201E" w:rsidRPr="00C04A08" w14:paraId="7CD9F16B" w14:textId="77777777" w:rsidTr="0007720B">
        <w:trPr>
          <w:trHeight w:val="110"/>
        </w:trPr>
        <w:tc>
          <w:tcPr>
            <w:tcW w:w="2694" w:type="dxa"/>
            <w:shd w:val="clear" w:color="auto" w:fill="auto"/>
          </w:tcPr>
          <w:p w14:paraId="5C3CA368" w14:textId="77777777" w:rsidR="00FB201E" w:rsidRPr="00C04A08" w:rsidRDefault="00FB201E" w:rsidP="0007720B">
            <w:pPr>
              <w:pStyle w:val="TAC"/>
            </w:pPr>
            <w:r w:rsidRPr="00C04A08">
              <w:t>n258</w:t>
            </w:r>
          </w:p>
        </w:tc>
        <w:tc>
          <w:tcPr>
            <w:tcW w:w="2734" w:type="dxa"/>
            <w:shd w:val="clear" w:color="auto" w:fill="auto"/>
          </w:tcPr>
          <w:p w14:paraId="1D55BA54" w14:textId="77777777" w:rsidR="00FB201E" w:rsidRPr="00C04A08" w:rsidRDefault="00FB201E" w:rsidP="0007720B">
            <w:pPr>
              <w:pStyle w:val="TAC"/>
            </w:pPr>
            <w:r w:rsidRPr="00C04A08">
              <w:t>11.5</w:t>
            </w:r>
          </w:p>
        </w:tc>
      </w:tr>
      <w:tr w:rsidR="00FB201E" w:rsidRPr="00C04A08" w14:paraId="63E8918D" w14:textId="77777777" w:rsidTr="0007720B">
        <w:trPr>
          <w:trHeight w:val="110"/>
        </w:trPr>
        <w:tc>
          <w:tcPr>
            <w:tcW w:w="2694" w:type="dxa"/>
            <w:shd w:val="clear" w:color="auto" w:fill="auto"/>
          </w:tcPr>
          <w:p w14:paraId="500F8BF5" w14:textId="77777777" w:rsidR="00FB201E" w:rsidRPr="00C04A08" w:rsidRDefault="00FB201E" w:rsidP="0007720B">
            <w:pPr>
              <w:pStyle w:val="TAC"/>
            </w:pPr>
            <w:r w:rsidRPr="00C04A08">
              <w:t>n259</w:t>
            </w:r>
          </w:p>
        </w:tc>
        <w:tc>
          <w:tcPr>
            <w:tcW w:w="2734" w:type="dxa"/>
            <w:shd w:val="clear" w:color="auto" w:fill="auto"/>
          </w:tcPr>
          <w:p w14:paraId="7F791A08" w14:textId="77777777" w:rsidR="00FB201E" w:rsidRPr="00C04A08" w:rsidRDefault="00FB201E" w:rsidP="0007720B">
            <w:pPr>
              <w:pStyle w:val="TAC"/>
            </w:pPr>
            <w:r w:rsidRPr="00C04A08">
              <w:t>5.8</w:t>
            </w:r>
          </w:p>
        </w:tc>
      </w:tr>
      <w:tr w:rsidR="00FB201E" w:rsidRPr="00C04A08" w14:paraId="70896427" w14:textId="77777777" w:rsidTr="0007720B">
        <w:trPr>
          <w:trHeight w:val="110"/>
        </w:trPr>
        <w:tc>
          <w:tcPr>
            <w:tcW w:w="2694" w:type="dxa"/>
            <w:shd w:val="clear" w:color="auto" w:fill="auto"/>
          </w:tcPr>
          <w:p w14:paraId="6C24B6BF" w14:textId="77777777" w:rsidR="00FB201E" w:rsidRPr="00C04A08" w:rsidRDefault="00FB201E" w:rsidP="0007720B">
            <w:pPr>
              <w:pStyle w:val="TAC"/>
            </w:pPr>
            <w:r w:rsidRPr="00C04A08">
              <w:t>n260</w:t>
            </w:r>
          </w:p>
        </w:tc>
        <w:tc>
          <w:tcPr>
            <w:tcW w:w="2734" w:type="dxa"/>
            <w:shd w:val="clear" w:color="auto" w:fill="auto"/>
          </w:tcPr>
          <w:p w14:paraId="5783A623" w14:textId="77777777" w:rsidR="00FB201E" w:rsidRPr="00C04A08" w:rsidRDefault="00FB201E" w:rsidP="0007720B">
            <w:pPr>
              <w:pStyle w:val="TAC"/>
            </w:pPr>
            <w:r w:rsidRPr="00C04A08">
              <w:t>8</w:t>
            </w:r>
          </w:p>
        </w:tc>
      </w:tr>
      <w:tr w:rsidR="00FB201E" w:rsidRPr="00C04A08" w14:paraId="2680E5A1" w14:textId="77777777" w:rsidTr="0007720B">
        <w:trPr>
          <w:trHeight w:val="110"/>
        </w:trPr>
        <w:tc>
          <w:tcPr>
            <w:tcW w:w="2694" w:type="dxa"/>
            <w:shd w:val="clear" w:color="auto" w:fill="auto"/>
          </w:tcPr>
          <w:p w14:paraId="61D42B65" w14:textId="77777777" w:rsidR="00FB201E" w:rsidRPr="00C04A08" w:rsidRDefault="00FB201E" w:rsidP="0007720B">
            <w:pPr>
              <w:pStyle w:val="TAC"/>
            </w:pPr>
            <w:r w:rsidRPr="00C04A08">
              <w:t>n261</w:t>
            </w:r>
          </w:p>
        </w:tc>
        <w:tc>
          <w:tcPr>
            <w:tcW w:w="2734" w:type="dxa"/>
            <w:shd w:val="clear" w:color="auto" w:fill="auto"/>
          </w:tcPr>
          <w:p w14:paraId="2391AC04" w14:textId="77777777" w:rsidR="00FB201E" w:rsidRPr="00C04A08" w:rsidRDefault="00FB201E" w:rsidP="0007720B">
            <w:pPr>
              <w:pStyle w:val="TAC"/>
            </w:pPr>
            <w:r w:rsidRPr="00C04A08">
              <w:t>11.5</w:t>
            </w:r>
          </w:p>
        </w:tc>
      </w:tr>
      <w:tr w:rsidR="00FB201E" w:rsidRPr="00C04A08" w14:paraId="2FB25154" w14:textId="77777777" w:rsidTr="0007720B">
        <w:trPr>
          <w:trHeight w:val="872"/>
        </w:trPr>
        <w:tc>
          <w:tcPr>
            <w:tcW w:w="5428" w:type="dxa"/>
            <w:gridSpan w:val="2"/>
            <w:shd w:val="clear" w:color="auto" w:fill="auto"/>
          </w:tcPr>
          <w:p w14:paraId="39F6129A" w14:textId="77777777" w:rsidR="00FB201E" w:rsidRPr="00C04A08" w:rsidRDefault="00FB201E" w:rsidP="0007720B">
            <w:pPr>
              <w:pStyle w:val="TAN"/>
            </w:pPr>
            <w:r w:rsidRPr="00C04A08">
              <w:t>NOTE 1:</w:t>
            </w:r>
            <w:r w:rsidRPr="00C04A08">
              <w:tab/>
              <w:t>Minimum EIRP at 50 %-tile CDF is defined as the lower limit without tolerance</w:t>
            </w:r>
          </w:p>
          <w:p w14:paraId="303471DE" w14:textId="77777777" w:rsidR="00FB201E" w:rsidRPr="00C04A08" w:rsidRDefault="00FB201E" w:rsidP="0007720B">
            <w:pPr>
              <w:pStyle w:val="TAN"/>
            </w:pPr>
            <w:r w:rsidRPr="00C04A08">
              <w:t>NOTE 2:</w:t>
            </w:r>
            <w:r w:rsidRPr="00C04A08">
              <w:tab/>
              <w:t>Void</w:t>
            </w:r>
          </w:p>
          <w:p w14:paraId="670115E8" w14:textId="77777777" w:rsidR="00FB201E" w:rsidRPr="00C04A08" w:rsidRDefault="00FB201E" w:rsidP="0007720B">
            <w:pPr>
              <w:pStyle w:val="TAN"/>
            </w:pPr>
            <w:r w:rsidRPr="00C04A08">
              <w:t>NOTE 3:</w:t>
            </w:r>
            <w:r w:rsidRPr="00C04A08">
              <w:tab/>
              <w:t>The requirements in this table are verified only under normal temperature conditions as defined in Annex E.2.1.</w:t>
            </w:r>
          </w:p>
        </w:tc>
      </w:tr>
    </w:tbl>
    <w:p w14:paraId="64B85C0C" w14:textId="77777777" w:rsidR="00601AD9" w:rsidRDefault="00601AD9" w:rsidP="00A7325F"/>
    <w:p w14:paraId="1AE5F2B8" w14:textId="2364BEBA" w:rsidR="00FB201E" w:rsidRDefault="00FB201E" w:rsidP="00A7325F">
      <w:r>
        <w:lastRenderedPageBreak/>
        <w:t xml:space="preserve">This corresponds to requiring that at least 50% of all measurement points on the sphere are above the output power shown in the table. </w:t>
      </w:r>
      <w:bookmarkStart w:id="0" w:name="_GoBack"/>
      <w:r w:rsidR="00086B99">
        <w:t>Therefore,</w:t>
      </w:r>
      <w:bookmarkEnd w:id="0"/>
      <w:r>
        <w:t xml:space="preserve"> the conformance test procedure </w:t>
      </w:r>
      <w:r w:rsidR="00BE01FE">
        <w:t xml:space="preserve">for the fast spherical coverage scan </w:t>
      </w:r>
      <w:r>
        <w:t>could look like this:</w:t>
      </w:r>
    </w:p>
    <w:p w14:paraId="25966E46" w14:textId="2D47AF4C" w:rsidR="00FB201E" w:rsidRDefault="00FB201E" w:rsidP="00FB201E">
      <w:pPr>
        <w:pStyle w:val="Listenabsatz"/>
        <w:numPr>
          <w:ilvl w:val="0"/>
          <w:numId w:val="49"/>
        </w:numPr>
        <w:rPr>
          <w:lang w:val="en-US"/>
        </w:rPr>
      </w:pPr>
      <w:r>
        <w:rPr>
          <w:lang w:val="en-US"/>
        </w:rPr>
        <w:t>Start of the measurement</w:t>
      </w:r>
    </w:p>
    <w:p w14:paraId="321CB686" w14:textId="2774ACCC" w:rsidR="00FB201E" w:rsidRDefault="00FB201E" w:rsidP="00FB201E">
      <w:pPr>
        <w:pStyle w:val="Listenabsatz"/>
        <w:numPr>
          <w:ilvl w:val="0"/>
          <w:numId w:val="49"/>
        </w:numPr>
        <w:rPr>
          <w:lang w:val="en-US"/>
        </w:rPr>
      </w:pPr>
      <w:r>
        <w:rPr>
          <w:lang w:val="en-US"/>
        </w:rPr>
        <w:t>Go to next point on the measurement grid</w:t>
      </w:r>
    </w:p>
    <w:p w14:paraId="4215D897" w14:textId="463012A1" w:rsidR="00FB201E" w:rsidRDefault="00FB201E" w:rsidP="00FB201E">
      <w:pPr>
        <w:pStyle w:val="Listenabsatz"/>
        <w:numPr>
          <w:ilvl w:val="0"/>
          <w:numId w:val="49"/>
        </w:numPr>
        <w:rPr>
          <w:lang w:val="en-US"/>
        </w:rPr>
      </w:pPr>
      <w:r>
        <w:rPr>
          <w:lang w:val="en-US"/>
        </w:rPr>
        <w:t>Measure</w:t>
      </w:r>
      <w:r w:rsidR="004A020E">
        <w:rPr>
          <w:lang w:val="en-US"/>
        </w:rPr>
        <w:t xml:space="preserve"> the output power and calculate</w:t>
      </w:r>
      <w:r>
        <w:rPr>
          <w:lang w:val="en-US"/>
        </w:rPr>
        <w:t xml:space="preserve"> total EIRP.</w:t>
      </w:r>
    </w:p>
    <w:p w14:paraId="17114494" w14:textId="57EDEE5E" w:rsidR="00FB201E" w:rsidRDefault="00FB201E" w:rsidP="00FB201E">
      <w:pPr>
        <w:pStyle w:val="Listenabsatz"/>
        <w:numPr>
          <w:ilvl w:val="0"/>
          <w:numId w:val="49"/>
        </w:numPr>
        <w:rPr>
          <w:lang w:val="en-US"/>
        </w:rPr>
      </w:pPr>
      <w:r>
        <w:rPr>
          <w:lang w:val="en-US"/>
        </w:rPr>
        <w:t xml:space="preserve">If 50% of the total number of grid points (e.g. 100 out of 200 for constant density grid) are above the spherical coverage limit (e.g. 11.5 dBm for n257), pass the device. If not, go to Step 2. </w:t>
      </w:r>
      <w:r w:rsidR="004A020E">
        <w:rPr>
          <w:lang w:val="en-US"/>
        </w:rPr>
        <w:t>If all grid points have been measured and the less than 50% of the points are above the limit, fail the device.</w:t>
      </w:r>
    </w:p>
    <w:p w14:paraId="45FDD3DB" w14:textId="49714C1A" w:rsidR="00151BDB" w:rsidRDefault="00151BDB" w:rsidP="004A020E">
      <w:r>
        <w:t>The procedure above requires to measure at least 50% of the points (i.e. half-sphere) but also allows to measure only a reduced number of test points in the 2</w:t>
      </w:r>
      <w:r w:rsidRPr="00332A6D">
        <w:rPr>
          <w:vertAlign w:val="superscript"/>
        </w:rPr>
        <w:t>nd</w:t>
      </w:r>
      <w:r>
        <w:t xml:space="preserve"> hemisphere in case the UE meets the limit before completing the whole scan.</w:t>
      </w:r>
    </w:p>
    <w:p w14:paraId="200DC8BF" w14:textId="77777777" w:rsidR="00D0570F" w:rsidRDefault="004A020E" w:rsidP="004A020E">
      <w:r>
        <w:t>This way the test time for this particular case could be shortened up to 50%, but for power classes with different requirements this could be even higher. Also similar to the Rx beam</w:t>
      </w:r>
      <w:r w:rsidR="00496DAB">
        <w:t xml:space="preserve"> </w:t>
      </w:r>
      <w:r>
        <w:t>peak search the need for manual interaction could be reduced</w:t>
      </w:r>
      <w:r w:rsidR="00151BDB" w:rsidRPr="00151BDB">
        <w:t xml:space="preserve"> </w:t>
      </w:r>
      <w:r w:rsidR="00151BDB">
        <w:t>while keeping the same MU, i.e. re-positioning approach applied for MU but no need to test the second hemisphere</w:t>
      </w:r>
      <w:r>
        <w:t>.</w:t>
      </w:r>
      <w:r w:rsidR="00151BDB">
        <w:t xml:space="preserve"> </w:t>
      </w:r>
    </w:p>
    <w:p w14:paraId="411E8011" w14:textId="03C6E7FB" w:rsidR="00D0570F" w:rsidRDefault="00151BDB" w:rsidP="004A020E">
      <w:r>
        <w:t xml:space="preserve">Further improvement is still possible </w:t>
      </w:r>
      <w:r w:rsidR="00D0570F">
        <w:t xml:space="preserve">for spherical coverage analyzing </w:t>
      </w:r>
      <w:r>
        <w:t xml:space="preserve">the </w:t>
      </w:r>
      <w:r w:rsidR="00D0570F">
        <w:t xml:space="preserve">regions that each </w:t>
      </w:r>
      <w:proofErr w:type="spellStart"/>
      <w:r w:rsidR="00D0570F">
        <w:t>QoQZ</w:t>
      </w:r>
      <w:proofErr w:type="spellEnd"/>
      <w:r w:rsidR="00D0570F">
        <w:t xml:space="preserve"> antenna orientation </w:t>
      </w:r>
      <w:r w:rsidR="00A40D65">
        <w:t>are</w:t>
      </w:r>
      <w:r w:rsidR="00D0570F">
        <w:t xml:space="preserve"> assumed to cover. Using the d</w:t>
      </w:r>
      <w:r w:rsidR="00D0570F" w:rsidRPr="00C75948">
        <w:t>istributed-axes system</w:t>
      </w:r>
      <w:r w:rsidR="00D0570F">
        <w:t xml:space="preserve"> as example, TS 38.521-2 </w:t>
      </w:r>
      <w:r w:rsidR="00A40D65">
        <w:t xml:space="preserve">include the following allowance in clause </w:t>
      </w:r>
      <w:r w:rsidR="00A40D65" w:rsidRPr="00C75948">
        <w:t>O.2.6.2</w:t>
      </w:r>
      <w:r w:rsidR="00A40D65">
        <w:t>:</w:t>
      </w:r>
    </w:p>
    <w:p w14:paraId="7454B048" w14:textId="77777777" w:rsidR="00D0570F" w:rsidRDefault="00D0570F" w:rsidP="004A020E">
      <w:pPr>
        <w:rPr>
          <w:rFonts w:ascii="Times New Roman" w:eastAsia="Times New Roman" w:hAnsi="Times New Roman" w:cs="Times New Roman"/>
          <w:sz w:val="20"/>
          <w:szCs w:val="20"/>
          <w:vertAlign w:val="subscript"/>
          <w:lang w:val="en-GB" w:eastAsia="en-GB"/>
        </w:rPr>
      </w:pPr>
      <w:r w:rsidRPr="00D0570F">
        <w:rPr>
          <w:rFonts w:ascii="Times New Roman" w:eastAsia="Times New Roman" w:hAnsi="Times New Roman" w:cs="Times New Roman"/>
          <w:sz w:val="20"/>
          <w:szCs w:val="20"/>
          <w:lang w:val="en-GB" w:eastAsia="en-GB"/>
        </w:rPr>
        <w:t xml:space="preserve">If the device re-positioning approach outlined in Annex N is adopted for all EIRP/EIS/TRP based conformance test cases, the quality of quiet zone analysis is sufficient only for </w:t>
      </w:r>
      <w:r w:rsidRPr="00D0570F">
        <w:rPr>
          <w:rFonts w:ascii="Symbol" w:eastAsia="Times New Roman" w:hAnsi="Symbol" w:cs="Times New Roman"/>
          <w:i/>
          <w:sz w:val="20"/>
          <w:szCs w:val="20"/>
          <w:lang w:val="en-GB" w:eastAsia="en-GB"/>
        </w:rPr>
        <w:t></w:t>
      </w:r>
      <w:r w:rsidRPr="00D0570F">
        <w:rPr>
          <w:rFonts w:ascii="Symbol" w:eastAsia="Times New Roman" w:hAnsi="Symbol" w:cs="Times New Roman"/>
          <w:i/>
          <w:sz w:val="20"/>
          <w:szCs w:val="20"/>
          <w:lang w:val="en-GB" w:eastAsia="en-GB"/>
        </w:rPr>
        <w:t></w:t>
      </w:r>
      <w:r w:rsidRPr="00D0570F">
        <w:rPr>
          <w:rFonts w:ascii="Times New Roman" w:eastAsia="Times New Roman" w:hAnsi="Times New Roman" w:cs="Times New Roman"/>
          <w:sz w:val="20"/>
          <w:szCs w:val="20"/>
          <w:lang w:val="en-GB" w:eastAsia="en-GB"/>
        </w:rPr>
        <w:t xml:space="preserve"> = 0</w:t>
      </w:r>
      <w:r w:rsidRPr="00D0570F">
        <w:rPr>
          <w:rFonts w:ascii="Times New Roman" w:eastAsia="Times New Roman" w:hAnsi="Times New Roman" w:cs="Times New Roman"/>
          <w:sz w:val="20"/>
          <w:szCs w:val="20"/>
          <w:vertAlign w:val="superscript"/>
          <w:lang w:val="en-GB" w:eastAsia="en-GB"/>
        </w:rPr>
        <w:t>o</w:t>
      </w:r>
      <w:r w:rsidRPr="00D0570F">
        <w:rPr>
          <w:rFonts w:ascii="Times New Roman" w:eastAsia="Times New Roman" w:hAnsi="Times New Roman" w:cs="Times New Roman"/>
          <w:sz w:val="20"/>
          <w:szCs w:val="20"/>
          <w:lang w:val="en-GB" w:eastAsia="en-GB"/>
        </w:rPr>
        <w:t>, 45</w:t>
      </w:r>
      <w:r w:rsidRPr="00D0570F">
        <w:rPr>
          <w:rFonts w:ascii="Times New Roman" w:eastAsia="Times New Roman" w:hAnsi="Times New Roman" w:cs="Times New Roman"/>
          <w:sz w:val="20"/>
          <w:szCs w:val="20"/>
          <w:vertAlign w:val="superscript"/>
          <w:lang w:val="en-GB" w:eastAsia="en-GB"/>
        </w:rPr>
        <w:t>o</w:t>
      </w:r>
      <w:r w:rsidRPr="00D0570F">
        <w:rPr>
          <w:rFonts w:ascii="Times New Roman" w:eastAsia="Times New Roman" w:hAnsi="Times New Roman" w:cs="Times New Roman"/>
          <w:sz w:val="20"/>
          <w:szCs w:val="20"/>
          <w:lang w:val="en-GB" w:eastAsia="en-GB"/>
        </w:rPr>
        <w:t>, 90</w:t>
      </w:r>
      <w:r w:rsidRPr="00D0570F">
        <w:rPr>
          <w:rFonts w:ascii="Times New Roman" w:eastAsia="Times New Roman" w:hAnsi="Times New Roman" w:cs="Times New Roman"/>
          <w:sz w:val="20"/>
          <w:szCs w:val="20"/>
          <w:vertAlign w:val="superscript"/>
          <w:lang w:val="en-GB" w:eastAsia="en-GB"/>
        </w:rPr>
        <w:t>o</w:t>
      </w:r>
      <w:r w:rsidRPr="00D0570F">
        <w:rPr>
          <w:rFonts w:ascii="Times New Roman" w:eastAsia="Times New Roman" w:hAnsi="Times New Roman" w:cs="Times New Roman"/>
          <w:sz w:val="20"/>
          <w:szCs w:val="20"/>
          <w:lang w:val="en-GB" w:eastAsia="en-GB"/>
        </w:rPr>
        <w:t>, 270</w:t>
      </w:r>
      <w:r w:rsidRPr="00D0570F">
        <w:rPr>
          <w:rFonts w:ascii="Times New Roman" w:eastAsia="Times New Roman" w:hAnsi="Times New Roman" w:cs="Times New Roman"/>
          <w:sz w:val="20"/>
          <w:szCs w:val="20"/>
          <w:vertAlign w:val="superscript"/>
          <w:lang w:val="en-GB" w:eastAsia="en-GB"/>
        </w:rPr>
        <w:t>o</w:t>
      </w:r>
      <w:r w:rsidRPr="00D0570F">
        <w:rPr>
          <w:rFonts w:ascii="Times New Roman" w:eastAsia="Times New Roman" w:hAnsi="Times New Roman" w:cs="Times New Roman"/>
          <w:sz w:val="20"/>
          <w:szCs w:val="20"/>
          <w:lang w:val="en-GB" w:eastAsia="en-GB"/>
        </w:rPr>
        <w:t>, and 315</w:t>
      </w:r>
      <w:r w:rsidRPr="00D0570F">
        <w:rPr>
          <w:rFonts w:ascii="Times New Roman" w:eastAsia="Times New Roman" w:hAnsi="Times New Roman" w:cs="Times New Roman"/>
          <w:sz w:val="20"/>
          <w:szCs w:val="20"/>
          <w:vertAlign w:val="superscript"/>
          <w:lang w:val="en-GB" w:eastAsia="en-GB"/>
        </w:rPr>
        <w:t>o</w:t>
      </w:r>
      <w:r w:rsidRPr="00D0570F">
        <w:rPr>
          <w:rFonts w:ascii="Times New Roman" w:eastAsia="Times New Roman" w:hAnsi="Times New Roman" w:cs="Times New Roman"/>
          <w:sz w:val="20"/>
          <w:szCs w:val="20"/>
          <w:vertAlign w:val="subscript"/>
          <w:lang w:val="en-GB" w:eastAsia="en-GB"/>
        </w:rPr>
        <w:t>.</w:t>
      </w:r>
    </w:p>
    <w:p w14:paraId="5DDE6217" w14:textId="3CB099D3" w:rsidR="004A020E" w:rsidRPr="00F8319E" w:rsidRDefault="00A40D65" w:rsidP="004A020E">
      <w:pPr>
        <w:rPr>
          <w:lang w:val="en-GB"/>
        </w:rPr>
      </w:pPr>
      <w:r>
        <w:rPr>
          <w:lang w:val="en-GB"/>
        </w:rPr>
        <w:t>Therefore, i</w:t>
      </w:r>
      <w:r w:rsidR="00D0570F" w:rsidRPr="00A40D65">
        <w:rPr>
          <w:lang w:val="en-GB"/>
        </w:rPr>
        <w:t>t can be assumed that half of the points between</w:t>
      </w:r>
      <w:r w:rsidRPr="00A40D65">
        <w:rPr>
          <w:lang w:val="en-GB"/>
        </w:rPr>
        <w:t xml:space="preserve"> β =</w:t>
      </w:r>
      <w:r w:rsidR="00D0570F" w:rsidRPr="00A40D65">
        <w:rPr>
          <w:lang w:val="en-GB"/>
        </w:rPr>
        <w:t xml:space="preserve"> </w:t>
      </w:r>
      <w:r w:rsidR="00D0570F" w:rsidRPr="00332A6D">
        <w:rPr>
          <w:rFonts w:eastAsia="Times New Roman"/>
          <w:lang w:val="en-GB" w:eastAsia="en-GB"/>
        </w:rPr>
        <w:t xml:space="preserve">90º and </w:t>
      </w:r>
      <w:r w:rsidRPr="00A40D65">
        <w:rPr>
          <w:lang w:val="en-GB"/>
        </w:rPr>
        <w:t>β =</w:t>
      </w:r>
      <w:r w:rsidR="00D0570F" w:rsidRPr="00332A6D">
        <w:rPr>
          <w:rFonts w:eastAsia="Times New Roman"/>
          <w:lang w:val="en-GB" w:eastAsia="en-GB"/>
        </w:rPr>
        <w:t xml:space="preserve"> 135º </w:t>
      </w:r>
      <w:r w:rsidRPr="00332A6D">
        <w:rPr>
          <w:rFonts w:eastAsia="Times New Roman"/>
          <w:lang w:val="en-GB" w:eastAsia="en-GB"/>
        </w:rPr>
        <w:t xml:space="preserve">are covered by </w:t>
      </w:r>
      <w:r>
        <w:rPr>
          <w:rFonts w:eastAsia="Times New Roman"/>
          <w:lang w:val="en-GB" w:eastAsia="en-GB"/>
        </w:rPr>
        <w:t xml:space="preserve">each antenna </w:t>
      </w:r>
      <w:r w:rsidRPr="00F8319E">
        <w:rPr>
          <w:rFonts w:eastAsia="Times New Roman"/>
          <w:lang w:val="en-GB" w:eastAsia="en-GB"/>
        </w:rPr>
        <w:t xml:space="preserve">orientation (same applies for 225º and 270º). Following this approach, the first hemisphere measurement can be extended up to </w:t>
      </w:r>
      <w:r w:rsidRPr="00F8319E">
        <w:t xml:space="preserve">zenith = </w:t>
      </w:r>
      <w:r w:rsidRPr="00F8319E">
        <w:rPr>
          <w:rFonts w:eastAsia="Times New Roman"/>
          <w:lang w:val="en-GB" w:eastAsia="en-GB"/>
        </w:rPr>
        <w:t xml:space="preserve">112.5º before there is a need to place the device into orientation 2. </w:t>
      </w:r>
    </w:p>
    <w:p w14:paraId="2C1E7E95" w14:textId="2DAFFE1F" w:rsidR="003925A7" w:rsidRPr="00A7325F" w:rsidRDefault="00414E4C" w:rsidP="00A7325F">
      <w:r>
        <w:rPr>
          <w:b/>
        </w:rPr>
        <w:t>Proposal 1</w:t>
      </w:r>
      <w:r w:rsidR="004A020E" w:rsidRPr="00F8319E">
        <w:rPr>
          <w:b/>
        </w:rPr>
        <w:t xml:space="preserve">: </w:t>
      </w:r>
      <w:r w:rsidR="004A020E" w:rsidRPr="00F8319E">
        <w:t xml:space="preserve">RAN4 agrees to allow the </w:t>
      </w:r>
      <w:r w:rsidR="0051737E" w:rsidRPr="00F8319E">
        <w:t>fast spherical coverage</w:t>
      </w:r>
      <w:r w:rsidR="004A020E" w:rsidRPr="00F8319E">
        <w:t xml:space="preserve"> method as an optimized method for the spherical coverage tests.</w:t>
      </w:r>
    </w:p>
    <w:p w14:paraId="6A30F3C3" w14:textId="29BAE3FE" w:rsidR="00EE0AC3" w:rsidRPr="00DE4417" w:rsidRDefault="00F71811" w:rsidP="00E45333">
      <w:pPr>
        <w:pStyle w:val="berschrift1"/>
        <w:rPr>
          <w:rFonts w:cs="Arial"/>
        </w:rPr>
      </w:pPr>
      <w:r w:rsidRPr="00DE4417">
        <w:rPr>
          <w:rFonts w:cs="Arial"/>
        </w:rPr>
        <w:t>Proposals</w:t>
      </w:r>
    </w:p>
    <w:p w14:paraId="1BF0E911" w14:textId="4C3ED1A8" w:rsidR="00824BF1" w:rsidRDefault="004353D1" w:rsidP="00824BF1">
      <w:pPr>
        <w:rPr>
          <w:lang w:val="en-GB" w:eastAsia="en-US"/>
        </w:rPr>
      </w:pPr>
      <w:bookmarkStart w:id="1" w:name="_Ref473660868"/>
      <w:bookmarkStart w:id="2" w:name="_Ref473660708"/>
      <w:bookmarkStart w:id="3" w:name="OLE_LINK6"/>
      <w:bookmarkStart w:id="4" w:name="OLE_LINK7"/>
      <w:r>
        <w:rPr>
          <w:lang w:val="en-GB" w:eastAsia="en-US"/>
        </w:rPr>
        <w:t xml:space="preserve">In this paper </w:t>
      </w:r>
      <w:r w:rsidR="00F503A5">
        <w:rPr>
          <w:lang w:val="en-GB" w:eastAsia="en-US"/>
        </w:rPr>
        <w:t xml:space="preserve">we have </w:t>
      </w:r>
      <w:r w:rsidR="00601AD9">
        <w:rPr>
          <w:lang w:val="en-GB" w:eastAsia="en-US"/>
        </w:rPr>
        <w:t>discussed on how to improve the test time for Tx and Rx spherical coverage</w:t>
      </w:r>
      <w:r w:rsidR="00F503A5">
        <w:rPr>
          <w:lang w:val="en-GB" w:eastAsia="en-US"/>
        </w:rPr>
        <w:t>.</w:t>
      </w:r>
    </w:p>
    <w:p w14:paraId="2D3B24D5" w14:textId="77777777" w:rsidR="00601AD9" w:rsidRPr="00A7325F" w:rsidRDefault="00601AD9" w:rsidP="00601AD9">
      <w:r>
        <w:rPr>
          <w:b/>
        </w:rPr>
        <w:t>Proposal 1</w:t>
      </w:r>
      <w:r w:rsidRPr="00F8319E">
        <w:rPr>
          <w:b/>
        </w:rPr>
        <w:t xml:space="preserve">: </w:t>
      </w:r>
      <w:r w:rsidRPr="00F8319E">
        <w:t>RAN4 agrees to allow the fast spherical coverage method as an optimized method for the spherical coverage tests.</w:t>
      </w:r>
    </w:p>
    <w:p w14:paraId="20FE03FB" w14:textId="77777777" w:rsidR="00601AD9" w:rsidRPr="00601AD9" w:rsidRDefault="00601AD9" w:rsidP="00824BF1">
      <w:pPr>
        <w:rPr>
          <w:lang w:eastAsia="en-US"/>
        </w:rPr>
      </w:pP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lastRenderedPageBreak/>
        <w:t>References</w:t>
      </w:r>
    </w:p>
    <w:bookmarkEnd w:id="1"/>
    <w:bookmarkEnd w:id="2"/>
    <w:bookmarkEnd w:id="3"/>
    <w:bookmarkEnd w:id="4"/>
    <w:p w14:paraId="296212CC" w14:textId="75FFAA3D" w:rsidR="00824BF1" w:rsidRDefault="00F503A5" w:rsidP="00F503A5">
      <w:pPr>
        <w:pStyle w:val="Listenabsatz"/>
        <w:numPr>
          <w:ilvl w:val="0"/>
          <w:numId w:val="46"/>
        </w:numPr>
        <w:spacing w:after="0" w:line="240" w:lineRule="auto"/>
        <w:rPr>
          <w:lang w:val="en-GB"/>
        </w:rPr>
      </w:pPr>
      <w:r>
        <w:rPr>
          <w:lang w:val="en-GB"/>
        </w:rPr>
        <w:t>R4-2017597</w:t>
      </w:r>
      <w:r w:rsidR="00783931">
        <w:rPr>
          <w:lang w:val="en-GB"/>
        </w:rPr>
        <w:t xml:space="preserve">: </w:t>
      </w:r>
      <w:r w:rsidRPr="00F503A5">
        <w:rPr>
          <w:lang w:val="en-GB"/>
        </w:rPr>
        <w:t>WF on testability enhancements to reduce test time</w:t>
      </w:r>
      <w:r w:rsidR="00783931">
        <w:rPr>
          <w:lang w:val="en-GB"/>
        </w:rPr>
        <w:t xml:space="preserve">; </w:t>
      </w:r>
      <w:r w:rsidR="00783931" w:rsidRPr="00783931">
        <w:rPr>
          <w:lang w:val="en-GB"/>
        </w:rPr>
        <w:t>CATR, OPPO, K</w:t>
      </w:r>
      <w:r w:rsidR="00783931">
        <w:rPr>
          <w:lang w:val="en-GB"/>
        </w:rPr>
        <w:t xml:space="preserve">eysight, Apple, Qualcomm, Rohde &amp; </w:t>
      </w:r>
      <w:r w:rsidR="00783931" w:rsidRPr="00783931">
        <w:rPr>
          <w:lang w:val="en-GB"/>
        </w:rPr>
        <w:t>Schwarz, Intel</w:t>
      </w:r>
      <w:r w:rsidR="00783931">
        <w:rPr>
          <w:lang w:val="en-GB"/>
        </w:rPr>
        <w:t>; RAN #81, Gold Coast, Australia; September 2018</w:t>
      </w:r>
    </w:p>
    <w:p w14:paraId="5B648C56" w14:textId="77777777" w:rsidR="00601AD9" w:rsidRPr="003A4D3A" w:rsidRDefault="00601AD9" w:rsidP="00601AD9">
      <w:pPr>
        <w:pStyle w:val="Listenabsatz"/>
        <w:numPr>
          <w:ilvl w:val="0"/>
          <w:numId w:val="46"/>
        </w:numPr>
        <w:spacing w:after="0" w:line="240" w:lineRule="auto"/>
        <w:rPr>
          <w:lang w:val="en-GB"/>
        </w:rPr>
      </w:pPr>
      <w:r>
        <w:rPr>
          <w:lang w:val="en-US"/>
        </w:rPr>
        <w:t>3GPP TS 38.521-2 v16.6.0</w:t>
      </w:r>
    </w:p>
    <w:sectPr w:rsidR="00601AD9" w:rsidRPr="003A4D3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57EAC" w14:textId="77777777" w:rsidR="00C012A1" w:rsidRDefault="00C012A1" w:rsidP="00371D7D">
      <w:r>
        <w:separator/>
      </w:r>
    </w:p>
  </w:endnote>
  <w:endnote w:type="continuationSeparator" w:id="0">
    <w:p w14:paraId="38D7D6C2" w14:textId="77777777" w:rsidR="00C012A1" w:rsidRDefault="00C012A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07720B" w:rsidRDefault="000772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0608887" w:rsidR="0007720B" w:rsidRPr="000E7B1E" w:rsidRDefault="0007720B"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806A2">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07720B" w:rsidRDefault="000772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36DEB" w14:textId="77777777" w:rsidR="00C012A1" w:rsidRDefault="00C012A1" w:rsidP="00371D7D">
      <w:r>
        <w:separator/>
      </w:r>
    </w:p>
  </w:footnote>
  <w:footnote w:type="continuationSeparator" w:id="0">
    <w:p w14:paraId="1E4DC113" w14:textId="77777777" w:rsidR="00C012A1" w:rsidRDefault="00C012A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07720B" w:rsidRDefault="000772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07720B" w:rsidRDefault="000772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07720B" w:rsidRDefault="00077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04008"/>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3E86519"/>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20"/>
  </w:num>
  <w:num w:numId="4">
    <w:abstractNumId w:val="32"/>
  </w:num>
  <w:num w:numId="5">
    <w:abstractNumId w:val="20"/>
  </w:num>
  <w:num w:numId="6">
    <w:abstractNumId w:val="20"/>
  </w:num>
  <w:num w:numId="7">
    <w:abstractNumId w:val="20"/>
  </w:num>
  <w:num w:numId="8">
    <w:abstractNumId w:val="20"/>
  </w:num>
  <w:num w:numId="9">
    <w:abstractNumId w:val="18"/>
  </w:num>
  <w:num w:numId="10">
    <w:abstractNumId w:val="21"/>
  </w:num>
  <w:num w:numId="11">
    <w:abstractNumId w:val="17"/>
  </w:num>
  <w:num w:numId="12">
    <w:abstractNumId w:val="16"/>
  </w:num>
  <w:num w:numId="13">
    <w:abstractNumId w:val="35"/>
  </w:num>
  <w:num w:numId="14">
    <w:abstractNumId w:val="20"/>
  </w:num>
  <w:num w:numId="15">
    <w:abstractNumId w:val="28"/>
  </w:num>
  <w:num w:numId="16">
    <w:abstractNumId w:val="13"/>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1"/>
  </w:num>
  <w:num w:numId="25">
    <w:abstractNumId w:val="12"/>
  </w:num>
  <w:num w:numId="26">
    <w:abstractNumId w:val="20"/>
  </w:num>
  <w:num w:numId="27">
    <w:abstractNumId w:val="22"/>
  </w:num>
  <w:num w:numId="28">
    <w:abstractNumId w:val="4"/>
  </w:num>
  <w:num w:numId="29">
    <w:abstractNumId w:val="26"/>
  </w:num>
  <w:num w:numId="30">
    <w:abstractNumId w:val="31"/>
  </w:num>
  <w:num w:numId="31">
    <w:abstractNumId w:val="30"/>
  </w:num>
  <w:num w:numId="32">
    <w:abstractNumId w:val="8"/>
  </w:num>
  <w:num w:numId="33">
    <w:abstractNumId w:val="38"/>
  </w:num>
  <w:num w:numId="34">
    <w:abstractNumId w:val="3"/>
  </w:num>
  <w:num w:numId="35">
    <w:abstractNumId w:val="15"/>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7"/>
  </w:num>
  <w:num w:numId="46">
    <w:abstractNumId w:val="9"/>
  </w:num>
  <w:num w:numId="47">
    <w:abstractNumId w:val="37"/>
  </w:num>
  <w:num w:numId="48">
    <w:abstractNumId w:val="19"/>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131078" w:nlCheck="1" w:checkStyle="1"/>
  <w:proofState w:spelling="clean" w:grammar="clean"/>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20EA"/>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7720B"/>
    <w:rsid w:val="000814E4"/>
    <w:rsid w:val="00081C35"/>
    <w:rsid w:val="000828B5"/>
    <w:rsid w:val="00082A5B"/>
    <w:rsid w:val="00086B99"/>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63C6"/>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1BDB"/>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080"/>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4926"/>
    <w:rsid w:val="0032672D"/>
    <w:rsid w:val="003300C3"/>
    <w:rsid w:val="00330686"/>
    <w:rsid w:val="003321C2"/>
    <w:rsid w:val="00332A6D"/>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06A2"/>
    <w:rsid w:val="003812CA"/>
    <w:rsid w:val="003838EA"/>
    <w:rsid w:val="00384B70"/>
    <w:rsid w:val="0038590F"/>
    <w:rsid w:val="003925A7"/>
    <w:rsid w:val="003A16D1"/>
    <w:rsid w:val="003A1A60"/>
    <w:rsid w:val="003A1D27"/>
    <w:rsid w:val="003A438D"/>
    <w:rsid w:val="003A4D3A"/>
    <w:rsid w:val="003A575F"/>
    <w:rsid w:val="003A7774"/>
    <w:rsid w:val="003B0EF9"/>
    <w:rsid w:val="003B1E3D"/>
    <w:rsid w:val="003B407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2C00"/>
    <w:rsid w:val="004137F2"/>
    <w:rsid w:val="0041469B"/>
    <w:rsid w:val="004149E9"/>
    <w:rsid w:val="00414E4C"/>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96DAB"/>
    <w:rsid w:val="004A020E"/>
    <w:rsid w:val="004A04A5"/>
    <w:rsid w:val="004A05E1"/>
    <w:rsid w:val="004A08D7"/>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B2E"/>
    <w:rsid w:val="004E1ED2"/>
    <w:rsid w:val="004E2925"/>
    <w:rsid w:val="004E3358"/>
    <w:rsid w:val="004E3BCC"/>
    <w:rsid w:val="004E4907"/>
    <w:rsid w:val="004F0412"/>
    <w:rsid w:val="004F0E1F"/>
    <w:rsid w:val="004F17EE"/>
    <w:rsid w:val="004F27A7"/>
    <w:rsid w:val="004F36A7"/>
    <w:rsid w:val="004F4D21"/>
    <w:rsid w:val="004F593F"/>
    <w:rsid w:val="004F697D"/>
    <w:rsid w:val="00502740"/>
    <w:rsid w:val="00502B4D"/>
    <w:rsid w:val="00510F85"/>
    <w:rsid w:val="00512883"/>
    <w:rsid w:val="00514970"/>
    <w:rsid w:val="00516D9C"/>
    <w:rsid w:val="0051737E"/>
    <w:rsid w:val="00517DEB"/>
    <w:rsid w:val="005208AB"/>
    <w:rsid w:val="00521C12"/>
    <w:rsid w:val="0052278C"/>
    <w:rsid w:val="005242EF"/>
    <w:rsid w:val="005247E8"/>
    <w:rsid w:val="0052481A"/>
    <w:rsid w:val="00524CE0"/>
    <w:rsid w:val="00525441"/>
    <w:rsid w:val="00525E1F"/>
    <w:rsid w:val="00533FBD"/>
    <w:rsid w:val="00534096"/>
    <w:rsid w:val="005346EC"/>
    <w:rsid w:val="005356CB"/>
    <w:rsid w:val="005374EC"/>
    <w:rsid w:val="00537AA4"/>
    <w:rsid w:val="00542862"/>
    <w:rsid w:val="005444B7"/>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4D8A"/>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1AD9"/>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3705"/>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44E"/>
    <w:rsid w:val="00757D7D"/>
    <w:rsid w:val="00761AED"/>
    <w:rsid w:val="007636DE"/>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4B53"/>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2279"/>
    <w:rsid w:val="008E5CC2"/>
    <w:rsid w:val="008E790D"/>
    <w:rsid w:val="008F28BE"/>
    <w:rsid w:val="008F3E4A"/>
    <w:rsid w:val="008F4F09"/>
    <w:rsid w:val="008F5836"/>
    <w:rsid w:val="008F6239"/>
    <w:rsid w:val="008F6BB4"/>
    <w:rsid w:val="00900582"/>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1607"/>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3198"/>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6494"/>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0D65"/>
    <w:rsid w:val="00A42596"/>
    <w:rsid w:val="00A43DCF"/>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311E"/>
    <w:rsid w:val="00A85A6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05"/>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6F72"/>
    <w:rsid w:val="00B671BB"/>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B6C23"/>
    <w:rsid w:val="00BC0823"/>
    <w:rsid w:val="00BC0850"/>
    <w:rsid w:val="00BC08FC"/>
    <w:rsid w:val="00BD0D1A"/>
    <w:rsid w:val="00BD13E2"/>
    <w:rsid w:val="00BD4781"/>
    <w:rsid w:val="00BD55A2"/>
    <w:rsid w:val="00BD6319"/>
    <w:rsid w:val="00BD73CC"/>
    <w:rsid w:val="00BE01FE"/>
    <w:rsid w:val="00BE29DD"/>
    <w:rsid w:val="00BE5364"/>
    <w:rsid w:val="00BF1935"/>
    <w:rsid w:val="00BF268B"/>
    <w:rsid w:val="00BF7A2F"/>
    <w:rsid w:val="00C0043D"/>
    <w:rsid w:val="00C006B0"/>
    <w:rsid w:val="00C00965"/>
    <w:rsid w:val="00C0127E"/>
    <w:rsid w:val="00C012A1"/>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567"/>
    <w:rsid w:val="00CE2AA0"/>
    <w:rsid w:val="00CE6A12"/>
    <w:rsid w:val="00CE6D69"/>
    <w:rsid w:val="00CE7B33"/>
    <w:rsid w:val="00CF0FA5"/>
    <w:rsid w:val="00CF23C9"/>
    <w:rsid w:val="00CF3ECE"/>
    <w:rsid w:val="00CF41D2"/>
    <w:rsid w:val="00D0035A"/>
    <w:rsid w:val="00D00B3C"/>
    <w:rsid w:val="00D011FC"/>
    <w:rsid w:val="00D04FCA"/>
    <w:rsid w:val="00D0570F"/>
    <w:rsid w:val="00D05BE4"/>
    <w:rsid w:val="00D071B9"/>
    <w:rsid w:val="00D121AD"/>
    <w:rsid w:val="00D132ED"/>
    <w:rsid w:val="00D15EF0"/>
    <w:rsid w:val="00D16982"/>
    <w:rsid w:val="00D1738E"/>
    <w:rsid w:val="00D176E5"/>
    <w:rsid w:val="00D17DB4"/>
    <w:rsid w:val="00D20074"/>
    <w:rsid w:val="00D204DC"/>
    <w:rsid w:val="00D23A0A"/>
    <w:rsid w:val="00D23C94"/>
    <w:rsid w:val="00D24042"/>
    <w:rsid w:val="00D27579"/>
    <w:rsid w:val="00D3301A"/>
    <w:rsid w:val="00D33E05"/>
    <w:rsid w:val="00D34A16"/>
    <w:rsid w:val="00D36BEA"/>
    <w:rsid w:val="00D4043B"/>
    <w:rsid w:val="00D4068F"/>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35DE"/>
    <w:rsid w:val="00DA613F"/>
    <w:rsid w:val="00DB1476"/>
    <w:rsid w:val="00DB1525"/>
    <w:rsid w:val="00DB156C"/>
    <w:rsid w:val="00DB18A0"/>
    <w:rsid w:val="00DB25F8"/>
    <w:rsid w:val="00DB29DE"/>
    <w:rsid w:val="00DB3307"/>
    <w:rsid w:val="00DB3DD2"/>
    <w:rsid w:val="00DB4317"/>
    <w:rsid w:val="00DB5A35"/>
    <w:rsid w:val="00DB67BF"/>
    <w:rsid w:val="00DC0885"/>
    <w:rsid w:val="00DC0BAC"/>
    <w:rsid w:val="00DC0BED"/>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03A5"/>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319E"/>
    <w:rsid w:val="00F844CA"/>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01E"/>
    <w:rsid w:val="00FB280C"/>
    <w:rsid w:val="00FB2EFD"/>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01AD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B2">
    <w:name w:val="B2"/>
    <w:basedOn w:val="Liste2"/>
    <w:link w:val="B2Char"/>
    <w:rsid w:val="00F844C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rsid w:val="00F844CA"/>
    <w:rPr>
      <w:rFonts w:eastAsia="Times New Roman"/>
    </w:rPr>
  </w:style>
  <w:style w:type="character" w:customStyle="1" w:styleId="B2Char">
    <w:name w:val="B2 Char"/>
    <w:link w:val="B2"/>
    <w:rsid w:val="00F844CA"/>
    <w:rPr>
      <w:rFonts w:ascii="Times New Roman" w:eastAsia="Times New Roman" w:hAnsi="Times New Roman"/>
      <w:lang w:val="en-GB" w:eastAsia="en-GB"/>
    </w:rPr>
  </w:style>
  <w:style w:type="paragraph" w:customStyle="1" w:styleId="B1s">
    <w:name w:val="B1s"/>
    <w:basedOn w:val="B1"/>
    <w:rsid w:val="00F844CA"/>
    <w:pPr>
      <w:overflowPunct w:val="0"/>
      <w:autoSpaceDE w:val="0"/>
      <w:autoSpaceDN w:val="0"/>
      <w:adjustRightInd w:val="0"/>
      <w:textAlignment w:val="baseline"/>
    </w:pPr>
    <w:rPr>
      <w:rFonts w:eastAsia="Times New Roman"/>
      <w:lang w:eastAsia="en-GB"/>
    </w:rPr>
  </w:style>
  <w:style w:type="paragraph" w:styleId="Liste2">
    <w:name w:val="List 2"/>
    <w:basedOn w:val="Standard"/>
    <w:uiPriority w:val="99"/>
    <w:semiHidden/>
    <w:unhideWhenUsed/>
    <w:rsid w:val="00F844C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9758D-138F-4459-8D95-508C1B63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585</Words>
  <Characters>3691</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5</cp:revision>
  <cp:lastPrinted>2018-08-10T06:24:00Z</cp:lastPrinted>
  <dcterms:created xsi:type="dcterms:W3CDTF">2021-01-15T16:45:00Z</dcterms:created>
  <dcterms:modified xsi:type="dcterms:W3CDTF">2021-01-15T17:58:00Z</dcterms:modified>
  <cp:category/>
</cp:coreProperties>
</file>